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81" w:rsidRDefault="00306381" w:rsidP="00306381">
      <w:pPr>
        <w:ind w:firstLineChars="200" w:firstLine="643"/>
        <w:jc w:val="center"/>
        <w:rPr>
          <w:rFonts w:ascii="Times New Roman" w:eastAsia="仿宋" w:hAnsi="Times New Roman" w:cs="Times New Roman"/>
          <w:sz w:val="32"/>
          <w:szCs w:val="32"/>
        </w:rPr>
      </w:pPr>
      <w:bookmarkStart w:id="0" w:name="_GoBack"/>
      <w:bookmarkEnd w:id="0"/>
      <w:r w:rsidRPr="002415E2">
        <w:rPr>
          <w:rFonts w:ascii="Times New Roman" w:eastAsia="仿宋" w:hAnsi="Times New Roman" w:cs="Times New Roman"/>
          <w:b/>
          <w:bCs/>
          <w:sz w:val="32"/>
          <w:szCs w:val="32"/>
        </w:rPr>
        <w:t>法学博士、硕士研究生申请学位基本学术要求</w:t>
      </w:r>
    </w:p>
    <w:p w:rsidR="00306381" w:rsidRPr="00025692"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一、法学（</w:t>
      </w:r>
      <w:r>
        <w:rPr>
          <w:rFonts w:ascii="Times New Roman" w:eastAsia="仿宋" w:hAnsi="Times New Roman" w:cs="Times New Roman"/>
          <w:sz w:val="32"/>
          <w:szCs w:val="32"/>
        </w:rPr>
        <w:t>0301</w:t>
      </w:r>
      <w:r>
        <w:rPr>
          <w:rFonts w:ascii="Times New Roman" w:eastAsia="仿宋" w:hAnsi="Times New Roman" w:cs="Times New Roman"/>
          <w:sz w:val="32"/>
          <w:szCs w:val="32"/>
        </w:rPr>
        <w:t>）一级学科下内招博士研究生申请学位基本学术要求按照</w:t>
      </w:r>
      <w:hyperlink r:id="rId8" w:history="1">
        <w:r>
          <w:rPr>
            <w:rFonts w:ascii="Times New Roman" w:eastAsia="仿宋" w:hAnsi="Times New Roman" w:cs="Times New Roman"/>
            <w:sz w:val="32"/>
            <w:szCs w:val="32"/>
          </w:rPr>
          <w:t>《暨南大学关于内招学术型博士研究生申请学位基本学术要求的规定（试行）》</w:t>
        </w:r>
        <w:r>
          <w:rPr>
            <w:rFonts w:ascii="Times New Roman" w:eastAsia="仿宋" w:hAnsi="Times New Roman" w:cs="Times New Roman"/>
            <w:sz w:val="32"/>
            <w:szCs w:val="32"/>
          </w:rPr>
          <w:t>(</w:t>
        </w:r>
        <w:r>
          <w:rPr>
            <w:rFonts w:ascii="Times New Roman" w:eastAsia="仿宋" w:hAnsi="Times New Roman" w:cs="Times New Roman"/>
            <w:sz w:val="32"/>
            <w:szCs w:val="32"/>
          </w:rPr>
          <w:t>暨</w:t>
        </w:r>
        <w:proofErr w:type="gramStart"/>
        <w:r>
          <w:rPr>
            <w:rFonts w:ascii="Times New Roman" w:eastAsia="仿宋" w:hAnsi="Times New Roman" w:cs="Times New Roman"/>
            <w:sz w:val="32"/>
            <w:szCs w:val="32"/>
          </w:rPr>
          <w:t>研</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2015</w:t>
        </w:r>
        <w:r>
          <w:rPr>
            <w:rFonts w:ascii="Times New Roman" w:eastAsia="仿宋" w:hAnsi="Times New Roman" w:cs="Times New Roman"/>
            <w:sz w:val="32"/>
            <w:szCs w:val="32"/>
          </w:rPr>
          <w:t>〕</w:t>
        </w:r>
        <w:r>
          <w:rPr>
            <w:rFonts w:ascii="Times New Roman" w:eastAsia="仿宋" w:hAnsi="Times New Roman" w:cs="Times New Roman"/>
            <w:sz w:val="32"/>
            <w:szCs w:val="32"/>
          </w:rPr>
          <w:t>67</w:t>
        </w:r>
        <w:r>
          <w:rPr>
            <w:rFonts w:ascii="Times New Roman" w:eastAsia="仿宋" w:hAnsi="Times New Roman" w:cs="Times New Roman"/>
            <w:sz w:val="32"/>
            <w:szCs w:val="32"/>
          </w:rPr>
          <w:t>号文</w:t>
        </w:r>
      </w:hyperlink>
      <w:r>
        <w:rPr>
          <w:rFonts w:ascii="Times New Roman" w:eastAsia="仿宋" w:hAnsi="Times New Roman" w:cs="Times New Roman"/>
          <w:sz w:val="32"/>
          <w:szCs w:val="32"/>
        </w:rPr>
        <w:t>）</w:t>
      </w:r>
      <w:r>
        <w:rPr>
          <w:rFonts w:ascii="Times New Roman" w:eastAsia="仿宋" w:hAnsi="Times New Roman" w:cs="Times New Roman"/>
          <w:sz w:val="32"/>
          <w:szCs w:val="32"/>
        </w:rPr>
        <w:t> </w:t>
      </w:r>
      <w:r>
        <w:rPr>
          <w:rFonts w:ascii="Times New Roman" w:eastAsia="仿宋" w:hAnsi="Times New Roman" w:cs="Times New Roman"/>
          <w:sz w:val="32"/>
          <w:szCs w:val="32"/>
        </w:rPr>
        <w:t>执行</w:t>
      </w:r>
      <w:r>
        <w:rPr>
          <w:rFonts w:ascii="Times New Roman" w:eastAsia="仿宋" w:hAnsi="Times New Roman" w:cs="Times New Roman" w:hint="eastAsia"/>
          <w:sz w:val="32"/>
          <w:szCs w:val="32"/>
        </w:rPr>
        <w:t>，</w:t>
      </w:r>
      <w:r>
        <w:rPr>
          <w:rFonts w:ascii="Times New Roman" w:eastAsia="仿宋" w:hAnsi="Times New Roman" w:cs="Times New Roman"/>
          <w:sz w:val="32"/>
          <w:szCs w:val="32"/>
        </w:rPr>
        <w:t>符合以下条件之一的，可申请学位：</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在</w:t>
      </w:r>
      <w:r>
        <w:rPr>
          <w:rFonts w:ascii="Times New Roman" w:eastAsia="仿宋" w:hAnsi="Times New Roman" w:cs="Times New Roman"/>
          <w:sz w:val="32"/>
          <w:szCs w:val="32"/>
        </w:rPr>
        <w:t>A</w:t>
      </w:r>
      <w:r>
        <w:rPr>
          <w:rFonts w:ascii="Times New Roman" w:eastAsia="仿宋" w:hAnsi="Times New Roman" w:cs="Times New Roman"/>
          <w:sz w:val="32"/>
          <w:szCs w:val="32"/>
        </w:rPr>
        <w:t>类期刊至少发表</w:t>
      </w:r>
      <w:r>
        <w:rPr>
          <w:rFonts w:ascii="Times New Roman" w:eastAsia="仿宋" w:hAnsi="Times New Roman" w:cs="Times New Roman"/>
          <w:sz w:val="32"/>
          <w:szCs w:val="32"/>
        </w:rPr>
        <w:t>1</w:t>
      </w:r>
      <w:r>
        <w:rPr>
          <w:rFonts w:ascii="Times New Roman" w:eastAsia="仿宋" w:hAnsi="Times New Roman" w:cs="Times New Roman"/>
          <w:sz w:val="32"/>
          <w:szCs w:val="32"/>
        </w:rPr>
        <w:t>篇论文。</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在</w:t>
      </w:r>
      <w:r>
        <w:rPr>
          <w:rFonts w:ascii="Times New Roman" w:eastAsia="仿宋" w:hAnsi="Times New Roman" w:cs="Times New Roman"/>
          <w:sz w:val="32"/>
          <w:szCs w:val="32"/>
        </w:rPr>
        <w:t>B1</w:t>
      </w:r>
      <w:r>
        <w:rPr>
          <w:rFonts w:ascii="Times New Roman" w:eastAsia="仿宋" w:hAnsi="Times New Roman" w:cs="Times New Roman"/>
          <w:sz w:val="32"/>
          <w:szCs w:val="32"/>
        </w:rPr>
        <w:t>类期刊至少发表</w:t>
      </w:r>
      <w:r>
        <w:rPr>
          <w:rFonts w:ascii="Times New Roman" w:eastAsia="仿宋" w:hAnsi="Times New Roman" w:cs="Times New Roman"/>
          <w:sz w:val="32"/>
          <w:szCs w:val="32"/>
        </w:rPr>
        <w:t>2</w:t>
      </w:r>
      <w:r>
        <w:rPr>
          <w:rFonts w:ascii="Times New Roman" w:eastAsia="仿宋" w:hAnsi="Times New Roman" w:cs="Times New Roman"/>
          <w:sz w:val="32"/>
          <w:szCs w:val="32"/>
        </w:rPr>
        <w:t>篇论文。</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获教育部（视为国家级）人文社会科学优秀成果奖等一等奖（排名前五名），或二等奖（排名前四名），或三等奖（排名前三名）。</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获省部级人文社会科学优秀成果奖等一等奖（排名前三名），或二等奖（排名前二名），或三等奖（排名第一名）。</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sz w:val="32"/>
          <w:szCs w:val="32"/>
        </w:rPr>
        <w:t>在</w:t>
      </w:r>
      <w:r>
        <w:rPr>
          <w:rFonts w:ascii="Times New Roman" w:eastAsia="仿宋" w:hAnsi="Times New Roman" w:cs="Times New Roman"/>
          <w:sz w:val="32"/>
          <w:szCs w:val="32"/>
        </w:rPr>
        <w:t>B1</w:t>
      </w:r>
      <w:r>
        <w:rPr>
          <w:rFonts w:ascii="Times New Roman" w:eastAsia="仿宋" w:hAnsi="Times New Roman" w:cs="Times New Roman"/>
          <w:sz w:val="32"/>
          <w:szCs w:val="32"/>
        </w:rPr>
        <w:t>类期刊上发表至少</w:t>
      </w:r>
      <w:r>
        <w:rPr>
          <w:rFonts w:ascii="Times New Roman" w:eastAsia="仿宋" w:hAnsi="Times New Roman" w:cs="Times New Roman"/>
          <w:sz w:val="32"/>
          <w:szCs w:val="32"/>
        </w:rPr>
        <w:t>1</w:t>
      </w:r>
      <w:r>
        <w:rPr>
          <w:rFonts w:ascii="Times New Roman" w:eastAsia="仿宋" w:hAnsi="Times New Roman" w:cs="Times New Roman"/>
          <w:sz w:val="32"/>
          <w:szCs w:val="32"/>
        </w:rPr>
        <w:t>篇学术论文，且满足以下条件之一：</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获厅局级</w:t>
      </w:r>
      <w:proofErr w:type="gramEnd"/>
      <w:r>
        <w:rPr>
          <w:rFonts w:ascii="Times New Roman" w:eastAsia="仿宋" w:hAnsi="Times New Roman" w:cs="Times New Roman"/>
          <w:sz w:val="32"/>
          <w:szCs w:val="32"/>
        </w:rPr>
        <w:t>一等奖（排名前二名）、二等奖（第一名）。</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取得咨询报告、政策建议及红（蓝、白）皮书，或获得授权发明专利、科技成果转移转化等应用类成果。应用类成果的认定标准严格以社会科学研究处、科学技术研究处公布的文件为准，红（蓝、白）皮书本人参写不少于</w:t>
      </w:r>
      <w:r>
        <w:rPr>
          <w:rFonts w:ascii="Times New Roman" w:eastAsia="仿宋" w:hAnsi="Times New Roman" w:cs="Times New Roman"/>
          <w:sz w:val="32"/>
          <w:szCs w:val="32"/>
        </w:rPr>
        <w:t>2</w:t>
      </w:r>
      <w:r>
        <w:rPr>
          <w:rFonts w:ascii="Times New Roman" w:eastAsia="仿宋" w:hAnsi="Times New Roman" w:cs="Times New Roman"/>
          <w:sz w:val="32"/>
          <w:szCs w:val="32"/>
        </w:rPr>
        <w:t>万字。</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w:t>
      </w:r>
      <w:r>
        <w:rPr>
          <w:rFonts w:ascii="Times New Roman" w:eastAsia="仿宋" w:hAnsi="Times New Roman" w:cs="Times New Roman"/>
          <w:sz w:val="32"/>
          <w:szCs w:val="32"/>
        </w:rPr>
        <w:t>3</w:t>
      </w:r>
      <w:r>
        <w:rPr>
          <w:rFonts w:ascii="Times New Roman" w:eastAsia="仿宋" w:hAnsi="Times New Roman" w:cs="Times New Roman"/>
          <w:sz w:val="32"/>
          <w:szCs w:val="32"/>
        </w:rPr>
        <w:t>）在附件</w:t>
      </w:r>
      <w:r>
        <w:rPr>
          <w:rFonts w:ascii="Times New Roman" w:eastAsia="仿宋" w:hAnsi="Times New Roman" w:cs="Times New Roman"/>
          <w:sz w:val="32"/>
          <w:szCs w:val="32"/>
        </w:rPr>
        <w:t>1</w:t>
      </w:r>
      <w:r>
        <w:rPr>
          <w:rFonts w:ascii="Times New Roman" w:eastAsia="仿宋" w:hAnsi="Times New Roman" w:cs="Times New Roman"/>
          <w:sz w:val="32"/>
          <w:szCs w:val="32"/>
        </w:rPr>
        <w:t>表格所列学术刊物发表</w:t>
      </w:r>
      <w:r>
        <w:rPr>
          <w:rFonts w:ascii="Times New Roman" w:eastAsia="仿宋" w:hAnsi="Times New Roman" w:cs="Times New Roman"/>
          <w:sz w:val="32"/>
          <w:szCs w:val="32"/>
        </w:rPr>
        <w:t>1</w:t>
      </w:r>
      <w:r>
        <w:rPr>
          <w:rFonts w:ascii="Times New Roman" w:eastAsia="仿宋" w:hAnsi="Times New Roman" w:cs="Times New Roman"/>
          <w:sz w:val="32"/>
          <w:szCs w:val="32"/>
        </w:rPr>
        <w:t>篇学术论文。</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4</w:t>
      </w:r>
      <w:r>
        <w:rPr>
          <w:rFonts w:ascii="Times New Roman" w:eastAsia="仿宋" w:hAnsi="Times New Roman" w:cs="Times New Roman"/>
          <w:sz w:val="32"/>
          <w:szCs w:val="32"/>
        </w:rPr>
        <w:t>）在国家二级学会全国学术年会论文获二等奖及以上（第一作者或导师为第一作者）并发表（或录用）；中国法学家论坛、中国法学青年论坛、中国法治论坛、中国法学会七大区域法治论坛</w:t>
      </w:r>
      <w:proofErr w:type="gramStart"/>
      <w:r>
        <w:rPr>
          <w:rFonts w:ascii="Times New Roman" w:eastAsia="仿宋" w:hAnsi="Times New Roman" w:cs="Times New Roman"/>
          <w:sz w:val="32"/>
          <w:szCs w:val="32"/>
        </w:rPr>
        <w:t>年会获</w:t>
      </w:r>
      <w:proofErr w:type="gramEnd"/>
      <w:r>
        <w:rPr>
          <w:rFonts w:ascii="Times New Roman" w:eastAsia="仿宋" w:hAnsi="Times New Roman" w:cs="Times New Roman"/>
          <w:sz w:val="32"/>
          <w:szCs w:val="32"/>
        </w:rPr>
        <w:t>三等奖及以上并发表（或录用）。</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5</w:t>
      </w:r>
      <w:r>
        <w:rPr>
          <w:rFonts w:ascii="Times New Roman" w:eastAsia="仿宋" w:hAnsi="Times New Roman" w:cs="Times New Roman"/>
          <w:sz w:val="32"/>
          <w:szCs w:val="32"/>
        </w:rPr>
        <w:t>）参与省部级以上科研项目并</w:t>
      </w:r>
      <w:proofErr w:type="gramStart"/>
      <w:r>
        <w:rPr>
          <w:rFonts w:ascii="Times New Roman" w:eastAsia="仿宋" w:hAnsi="Times New Roman" w:cs="Times New Roman"/>
          <w:sz w:val="32"/>
          <w:szCs w:val="32"/>
        </w:rPr>
        <w:t>取得结项证书</w:t>
      </w:r>
      <w:proofErr w:type="gramEnd"/>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以结项证书</w:t>
      </w:r>
      <w:proofErr w:type="gramEnd"/>
      <w:r>
        <w:rPr>
          <w:rFonts w:ascii="Times New Roman" w:eastAsia="仿宋" w:hAnsi="Times New Roman" w:cs="Times New Roman"/>
          <w:sz w:val="32"/>
          <w:szCs w:val="32"/>
        </w:rPr>
        <w:t>署名为准：国家级科研项目排名前三名、省部级科研项目排名前二名）。</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6</w:t>
      </w:r>
      <w:r>
        <w:rPr>
          <w:rFonts w:ascii="Times New Roman" w:eastAsia="仿宋" w:hAnsi="Times New Roman" w:cs="Times New Roman"/>
          <w:sz w:val="32"/>
          <w:szCs w:val="32"/>
        </w:rPr>
        <w:t>）</w:t>
      </w:r>
      <w:bookmarkStart w:id="1" w:name="_Hlk37257071"/>
      <w:r>
        <w:rPr>
          <w:rFonts w:ascii="Times New Roman" w:eastAsia="仿宋" w:hAnsi="Times New Roman" w:cs="Times New Roman"/>
          <w:sz w:val="32"/>
          <w:szCs w:val="32"/>
        </w:rPr>
        <w:t>若博士研究生所进行的学位论文研究，经认定具有较大创新前景，且学位论文</w:t>
      </w:r>
      <w:bookmarkStart w:id="2" w:name="_Hlk37258922"/>
      <w:r>
        <w:rPr>
          <w:rFonts w:ascii="Times New Roman" w:eastAsia="仿宋" w:hAnsi="Times New Roman" w:cs="Times New Roman"/>
          <w:sz w:val="32"/>
          <w:szCs w:val="32"/>
        </w:rPr>
        <w:t>双盲外审</w:t>
      </w:r>
      <w:bookmarkEnd w:id="2"/>
      <w:proofErr w:type="gramStart"/>
      <w:r>
        <w:rPr>
          <w:rFonts w:ascii="Times New Roman" w:eastAsia="仿宋" w:hAnsi="Times New Roman" w:cs="Times New Roman"/>
          <w:sz w:val="32"/>
          <w:szCs w:val="32"/>
        </w:rPr>
        <w:t>全优秀</w:t>
      </w:r>
      <w:proofErr w:type="gramEnd"/>
      <w:r>
        <w:rPr>
          <w:rFonts w:ascii="Times New Roman" w:eastAsia="仿宋" w:hAnsi="Times New Roman" w:cs="Times New Roman"/>
          <w:sz w:val="32"/>
          <w:szCs w:val="32"/>
        </w:rPr>
        <w:t>的，可提交一份已完成，但未公开发表的研究报告，经导师同意</w:t>
      </w:r>
      <w:bookmarkEnd w:id="1"/>
      <w:r>
        <w:rPr>
          <w:rFonts w:ascii="Times New Roman" w:eastAsia="仿宋" w:hAnsi="Times New Roman" w:cs="Times New Roman"/>
          <w:sz w:val="32"/>
          <w:szCs w:val="32"/>
        </w:rPr>
        <w:t>提交学科组严格审核同意，并送校外同行进行双盲评议；对于评议通过的研究成果，需经学位</w:t>
      </w:r>
      <w:proofErr w:type="gramStart"/>
      <w:r>
        <w:rPr>
          <w:rFonts w:ascii="Times New Roman" w:eastAsia="仿宋" w:hAnsi="Times New Roman" w:cs="Times New Roman"/>
          <w:sz w:val="32"/>
          <w:szCs w:val="32"/>
        </w:rPr>
        <w:t>评定分</w:t>
      </w:r>
      <w:proofErr w:type="gramEnd"/>
      <w:r>
        <w:rPr>
          <w:rFonts w:ascii="Times New Roman" w:eastAsia="仿宋" w:hAnsi="Times New Roman" w:cs="Times New Roman"/>
          <w:sz w:val="32"/>
          <w:szCs w:val="32"/>
        </w:rPr>
        <w:t>委员会严格审议通过</w:t>
      </w:r>
      <w:bookmarkStart w:id="3" w:name="_Hlk37173323"/>
      <w:r>
        <w:rPr>
          <w:rFonts w:ascii="Times New Roman" w:eastAsia="仿宋" w:hAnsi="Times New Roman" w:cs="Times New Roman"/>
          <w:sz w:val="32"/>
          <w:szCs w:val="32"/>
        </w:rPr>
        <w:t>，并提前报研究生院公示，</w:t>
      </w:r>
      <w:proofErr w:type="gramStart"/>
      <w:r>
        <w:rPr>
          <w:rFonts w:ascii="Times New Roman" w:eastAsia="仿宋" w:hAnsi="Times New Roman" w:cs="Times New Roman"/>
          <w:sz w:val="32"/>
          <w:szCs w:val="32"/>
        </w:rPr>
        <w:t>交校学位</w:t>
      </w:r>
      <w:proofErr w:type="gramEnd"/>
      <w:r>
        <w:rPr>
          <w:rFonts w:ascii="Times New Roman" w:eastAsia="仿宋" w:hAnsi="Times New Roman" w:cs="Times New Roman"/>
          <w:sz w:val="32"/>
          <w:szCs w:val="32"/>
        </w:rPr>
        <w:t>评定委员会审议</w:t>
      </w:r>
      <w:bookmarkEnd w:id="3"/>
      <w:r>
        <w:rPr>
          <w:rFonts w:ascii="Times New Roman" w:eastAsia="仿宋" w:hAnsi="Times New Roman" w:cs="Times New Roman"/>
          <w:sz w:val="32"/>
          <w:szCs w:val="32"/>
        </w:rPr>
        <w:t>通过。</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注：</w:t>
      </w:r>
      <w:r>
        <w:rPr>
          <w:rFonts w:ascii="Times New Roman" w:eastAsia="仿宋" w:hAnsi="Times New Roman" w:cs="Times New Roman"/>
          <w:sz w:val="32"/>
          <w:szCs w:val="32"/>
        </w:rPr>
        <w:t>所有作为申请学位认定依据的论文必须以</w:t>
      </w:r>
      <w:r>
        <w:rPr>
          <w:rFonts w:ascii="Times New Roman" w:eastAsia="仿宋" w:hAnsi="Times New Roman" w:cs="Times New Roman"/>
          <w:sz w:val="32"/>
          <w:szCs w:val="32"/>
        </w:rPr>
        <w:t>“</w:t>
      </w:r>
      <w:r>
        <w:rPr>
          <w:rFonts w:ascii="Times New Roman" w:eastAsia="仿宋" w:hAnsi="Times New Roman" w:cs="Times New Roman"/>
          <w:sz w:val="32"/>
          <w:szCs w:val="32"/>
        </w:rPr>
        <w:t>暨南大学</w:t>
      </w:r>
      <w:r>
        <w:rPr>
          <w:rFonts w:ascii="Times New Roman" w:eastAsia="仿宋" w:hAnsi="Times New Roman" w:cs="Times New Roman"/>
          <w:sz w:val="32"/>
          <w:szCs w:val="32"/>
        </w:rPr>
        <w:t>”</w:t>
      </w:r>
      <w:r>
        <w:rPr>
          <w:rFonts w:ascii="Times New Roman" w:eastAsia="仿宋" w:hAnsi="Times New Roman" w:cs="Times New Roman"/>
          <w:sz w:val="32"/>
          <w:szCs w:val="32"/>
        </w:rPr>
        <w:t>为第一署名单位，申请人本人署名第一作者或导师为第一作者、申请人为第二作者。</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对外招博士研究生发表论文不做硬性要求，鼓励发表与本学科领域相关的学术论文。</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二、法学一级学科下的内招学术型硕士研究生申请学位基本学术要求参照《</w:t>
      </w:r>
      <w:bookmarkStart w:id="4" w:name="_Hlk37080525"/>
      <w:r>
        <w:rPr>
          <w:rFonts w:ascii="Times New Roman" w:eastAsia="仿宋" w:hAnsi="Times New Roman" w:cs="Times New Roman"/>
          <w:sz w:val="32"/>
          <w:szCs w:val="32"/>
        </w:rPr>
        <w:t>暨南大学关于内招学术型硕士研究生申请学位基本学术要求的指导性意见</w:t>
      </w:r>
      <w:bookmarkEnd w:id="4"/>
      <w:r>
        <w:rPr>
          <w:rFonts w:ascii="Times New Roman" w:eastAsia="仿宋" w:hAnsi="Times New Roman" w:cs="Times New Roman"/>
          <w:sz w:val="32"/>
          <w:szCs w:val="32"/>
        </w:rPr>
        <w:t>》执行</w:t>
      </w:r>
      <w:r>
        <w:rPr>
          <w:rFonts w:ascii="Times New Roman" w:eastAsia="仿宋" w:hAnsi="Times New Roman" w:cs="Times New Roman" w:hint="eastAsia"/>
          <w:sz w:val="32"/>
          <w:szCs w:val="32"/>
        </w:rPr>
        <w:t>，</w:t>
      </w:r>
      <w:r>
        <w:rPr>
          <w:rFonts w:ascii="Times New Roman" w:eastAsia="仿宋" w:hAnsi="Times New Roman" w:cs="Times New Roman"/>
          <w:sz w:val="32"/>
          <w:szCs w:val="32"/>
        </w:rPr>
        <w:t>符合以下条件之</w:t>
      </w:r>
      <w:r>
        <w:rPr>
          <w:rFonts w:ascii="Times New Roman" w:eastAsia="仿宋" w:hAnsi="Times New Roman" w:cs="Times New Roman"/>
          <w:sz w:val="32"/>
          <w:szCs w:val="32"/>
        </w:rPr>
        <w:lastRenderedPageBreak/>
        <w:t>一的，可申请学位：</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以</w:t>
      </w:r>
      <w:r>
        <w:rPr>
          <w:rFonts w:ascii="Times New Roman" w:eastAsia="仿宋" w:hAnsi="Times New Roman" w:cs="Times New Roman"/>
          <w:sz w:val="32"/>
          <w:szCs w:val="32"/>
        </w:rPr>
        <w:t>“</w:t>
      </w:r>
      <w:r>
        <w:rPr>
          <w:rFonts w:ascii="Times New Roman" w:eastAsia="仿宋" w:hAnsi="Times New Roman" w:cs="Times New Roman"/>
          <w:sz w:val="32"/>
          <w:szCs w:val="32"/>
        </w:rPr>
        <w:t>暨南大学</w:t>
      </w:r>
      <w:r>
        <w:rPr>
          <w:rFonts w:ascii="Times New Roman" w:eastAsia="仿宋" w:hAnsi="Times New Roman" w:cs="Times New Roman"/>
          <w:sz w:val="32"/>
          <w:szCs w:val="32"/>
        </w:rPr>
        <w:t>”</w:t>
      </w:r>
      <w:r>
        <w:rPr>
          <w:rFonts w:ascii="Times New Roman" w:eastAsia="仿宋" w:hAnsi="Times New Roman" w:cs="Times New Roman"/>
          <w:sz w:val="32"/>
          <w:szCs w:val="32"/>
        </w:rPr>
        <w:t>为第一署名单位，第一作者或导师为第一作者、硕士研究生为第二作者，在本学科领域的国内外学术期刊、集刊公开发表学术论文至少</w:t>
      </w:r>
      <w:r>
        <w:rPr>
          <w:rFonts w:ascii="Times New Roman" w:eastAsia="仿宋" w:hAnsi="Times New Roman" w:cs="Times New Roman"/>
          <w:sz w:val="32"/>
          <w:szCs w:val="32"/>
        </w:rPr>
        <w:t>1</w:t>
      </w:r>
      <w:r>
        <w:rPr>
          <w:rFonts w:ascii="Times New Roman" w:eastAsia="仿宋" w:hAnsi="Times New Roman" w:cs="Times New Roman"/>
          <w:sz w:val="32"/>
          <w:szCs w:val="32"/>
        </w:rPr>
        <w:t>篇。</w:t>
      </w:r>
      <w:bookmarkStart w:id="5" w:name="_Hlk37746553"/>
      <w:r>
        <w:rPr>
          <w:rFonts w:ascii="Times New Roman" w:eastAsia="仿宋" w:hAnsi="Times New Roman" w:cs="Times New Roman"/>
          <w:sz w:val="32"/>
          <w:szCs w:val="32"/>
        </w:rPr>
        <w:t>公开发表的学术论文不包括综述性论文、论文摘要等</w:t>
      </w:r>
      <w:bookmarkEnd w:id="5"/>
      <w:r>
        <w:rPr>
          <w:rFonts w:ascii="Times New Roman" w:eastAsia="仿宋" w:hAnsi="Times New Roman" w:cs="Times New Roman"/>
          <w:sz w:val="32"/>
          <w:szCs w:val="32"/>
        </w:rPr>
        <w:t>。</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获得国家级（含教育部）人文社会科学优秀成果奖；获省部级人文社会科学优秀成果奖等一等奖（前五名）、二等奖（前四名）、三等奖（前三名）；</w:t>
      </w:r>
      <w:proofErr w:type="gramStart"/>
      <w:r>
        <w:rPr>
          <w:rFonts w:ascii="Times New Roman" w:eastAsia="仿宋" w:hAnsi="Times New Roman" w:cs="Times New Roman"/>
          <w:sz w:val="32"/>
          <w:szCs w:val="32"/>
        </w:rPr>
        <w:t>获厅局级</w:t>
      </w:r>
      <w:proofErr w:type="gramEnd"/>
      <w:r>
        <w:rPr>
          <w:rFonts w:ascii="Times New Roman" w:eastAsia="仿宋" w:hAnsi="Times New Roman" w:cs="Times New Roman"/>
          <w:sz w:val="32"/>
          <w:szCs w:val="32"/>
        </w:rPr>
        <w:t>一等奖（排名前三名）、二等奖（前二名）、三等奖（第一名）</w:t>
      </w:r>
      <w:bookmarkStart w:id="6" w:name="_Hlk37746707"/>
      <w:r>
        <w:rPr>
          <w:rFonts w:ascii="Times New Roman" w:eastAsia="仿宋" w:hAnsi="Times New Roman" w:cs="Times New Roman"/>
          <w:sz w:val="32"/>
          <w:szCs w:val="32"/>
        </w:rPr>
        <w:t>。</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取得应用类科研成果，包括咨询报告、政策建议及红（蓝、白）皮书等。</w:t>
      </w:r>
      <w:bookmarkStart w:id="7" w:name="_Hlk37082276"/>
      <w:r>
        <w:rPr>
          <w:rFonts w:ascii="Times New Roman" w:eastAsia="仿宋" w:hAnsi="Times New Roman" w:cs="Times New Roman"/>
          <w:sz w:val="32"/>
          <w:szCs w:val="32"/>
        </w:rPr>
        <w:t>应用类成果的认定标准以社科处公布的文件为准</w:t>
      </w:r>
      <w:bookmarkEnd w:id="6"/>
      <w:bookmarkEnd w:id="7"/>
      <w:r>
        <w:rPr>
          <w:rFonts w:ascii="Times New Roman" w:eastAsia="仿宋" w:hAnsi="Times New Roman" w:cs="Times New Roman"/>
          <w:sz w:val="32"/>
          <w:szCs w:val="32"/>
        </w:rPr>
        <w:t>,</w:t>
      </w:r>
      <w:r>
        <w:rPr>
          <w:rFonts w:ascii="Times New Roman" w:eastAsia="仿宋" w:hAnsi="Times New Roman" w:cs="Times New Roman"/>
          <w:sz w:val="32"/>
          <w:szCs w:val="32"/>
        </w:rPr>
        <w:t>红（蓝、白）皮书本人参写不少于</w:t>
      </w:r>
      <w:r>
        <w:rPr>
          <w:rFonts w:ascii="Times New Roman" w:eastAsia="仿宋" w:hAnsi="Times New Roman" w:cs="Times New Roman"/>
          <w:sz w:val="32"/>
          <w:szCs w:val="32"/>
        </w:rPr>
        <w:t>1</w:t>
      </w:r>
      <w:r>
        <w:rPr>
          <w:rFonts w:ascii="Times New Roman" w:eastAsia="仿宋" w:hAnsi="Times New Roman" w:cs="Times New Roman"/>
          <w:sz w:val="32"/>
          <w:szCs w:val="32"/>
        </w:rPr>
        <w:t>万字。</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在国家二级学会全国学术年会论文获三等奖及以上（第一作者或导师为第一作者）并发表（或录用）</w:t>
      </w:r>
      <w:r>
        <w:rPr>
          <w:rFonts w:ascii="Times New Roman" w:eastAsia="仿宋" w:hAnsi="Times New Roman" w:cs="Times New Roman"/>
          <w:sz w:val="32"/>
          <w:szCs w:val="32"/>
        </w:rPr>
        <w:t>;</w:t>
      </w:r>
      <w:r>
        <w:rPr>
          <w:rFonts w:ascii="Times New Roman" w:eastAsia="仿宋" w:hAnsi="Times New Roman" w:cs="Times New Roman"/>
          <w:sz w:val="32"/>
          <w:szCs w:val="32"/>
        </w:rPr>
        <w:t>省级二级学会全省学术年会论文获二等奖及以上（第一作者或导师为第一作者）并发表（或录用）；中国法学家论坛、中国法学青年论坛、中国法治论坛、中国法学会七大区域法治论坛年会获奖并发表（或录用）。</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获得学院备案的国家级以上专业学术类竞赛国际级奖项；或国家级一等奖（前四名），二等奖（前三名），三等奖（前二名）；或</w:t>
      </w:r>
      <w:r>
        <w:rPr>
          <w:rFonts w:ascii="Times New Roman" w:eastAsia="仿宋" w:hAnsi="Times New Roman" w:cs="Times New Roman"/>
          <w:sz w:val="32"/>
          <w:szCs w:val="32"/>
        </w:rPr>
        <w:t>“</w:t>
      </w:r>
      <w:r>
        <w:rPr>
          <w:rFonts w:ascii="Times New Roman" w:eastAsia="仿宋" w:hAnsi="Times New Roman" w:cs="Times New Roman"/>
          <w:sz w:val="32"/>
          <w:szCs w:val="32"/>
        </w:rPr>
        <w:t>挑战杯</w:t>
      </w:r>
      <w:r>
        <w:rPr>
          <w:rFonts w:ascii="Times New Roman" w:eastAsia="仿宋" w:hAnsi="Times New Roman" w:cs="Times New Roman"/>
          <w:sz w:val="32"/>
          <w:szCs w:val="32"/>
        </w:rPr>
        <w:t>”</w:t>
      </w:r>
      <w:r>
        <w:rPr>
          <w:rFonts w:ascii="Times New Roman" w:eastAsia="仿宋" w:hAnsi="Times New Roman" w:cs="Times New Roman"/>
          <w:sz w:val="32"/>
          <w:szCs w:val="32"/>
        </w:rPr>
        <w:t>全国大学生课外学术科技作品竞赛省级一等奖（前三名），二等奖（前二名）。（本条</w:t>
      </w:r>
      <w:r>
        <w:rPr>
          <w:rFonts w:ascii="Times New Roman" w:eastAsia="仿宋" w:hAnsi="Times New Roman" w:cs="Times New Roman"/>
          <w:sz w:val="32"/>
          <w:szCs w:val="32"/>
        </w:rPr>
        <w:lastRenderedPageBreak/>
        <w:t>所指</w:t>
      </w:r>
      <w:r>
        <w:rPr>
          <w:rFonts w:ascii="Times New Roman" w:eastAsia="仿宋" w:hAnsi="Times New Roman" w:cs="Times New Roman"/>
          <w:sz w:val="32"/>
          <w:szCs w:val="32"/>
        </w:rPr>
        <w:t>“</w:t>
      </w:r>
      <w:r>
        <w:rPr>
          <w:rFonts w:ascii="Times New Roman" w:eastAsia="仿宋" w:hAnsi="Times New Roman" w:cs="Times New Roman"/>
          <w:sz w:val="32"/>
          <w:szCs w:val="32"/>
        </w:rPr>
        <w:t>获得学院备案的国家级专业学术类竞赛</w:t>
      </w:r>
      <w:r>
        <w:rPr>
          <w:rFonts w:ascii="Times New Roman" w:eastAsia="仿宋" w:hAnsi="Times New Roman" w:cs="Times New Roman"/>
          <w:sz w:val="32"/>
          <w:szCs w:val="32"/>
        </w:rPr>
        <w:t>”</w:t>
      </w:r>
      <w:r>
        <w:rPr>
          <w:rFonts w:ascii="Times New Roman" w:eastAsia="仿宋" w:hAnsi="Times New Roman" w:cs="Times New Roman"/>
          <w:sz w:val="32"/>
          <w:szCs w:val="32"/>
        </w:rPr>
        <w:t>包括：</w:t>
      </w:r>
      <w:r>
        <w:rPr>
          <w:rFonts w:ascii="Times New Roman" w:eastAsia="仿宋" w:hAnsi="Times New Roman" w:cs="Times New Roman"/>
          <w:sz w:val="32"/>
          <w:szCs w:val="32"/>
        </w:rPr>
        <w:t>“</w:t>
      </w:r>
      <w:r>
        <w:rPr>
          <w:rFonts w:ascii="Times New Roman" w:eastAsia="仿宋" w:hAnsi="Times New Roman" w:cs="Times New Roman"/>
          <w:sz w:val="32"/>
          <w:szCs w:val="32"/>
        </w:rPr>
        <w:t>挑战杯</w:t>
      </w:r>
      <w:r>
        <w:rPr>
          <w:rFonts w:ascii="Times New Roman" w:eastAsia="仿宋" w:hAnsi="Times New Roman" w:cs="Times New Roman"/>
          <w:sz w:val="32"/>
          <w:szCs w:val="32"/>
        </w:rPr>
        <w:t>”</w:t>
      </w:r>
      <w:r>
        <w:rPr>
          <w:rFonts w:ascii="Times New Roman" w:eastAsia="仿宋" w:hAnsi="Times New Roman" w:cs="Times New Roman"/>
          <w:sz w:val="32"/>
          <w:szCs w:val="32"/>
        </w:rPr>
        <w:t>全国大学生课外学术科技作品竞赛、全国法律英语大赛、全国大学生版权征文大赛、</w:t>
      </w:r>
      <w:r>
        <w:rPr>
          <w:rFonts w:ascii="Times New Roman" w:eastAsia="仿宋" w:hAnsi="Times New Roman" w:cs="Times New Roman"/>
          <w:sz w:val="32"/>
          <w:szCs w:val="32"/>
        </w:rPr>
        <w:t>JESSUP</w:t>
      </w:r>
      <w:r>
        <w:rPr>
          <w:rFonts w:ascii="Times New Roman" w:eastAsia="仿宋" w:hAnsi="Times New Roman" w:cs="Times New Roman"/>
          <w:sz w:val="32"/>
          <w:szCs w:val="32"/>
        </w:rPr>
        <w:t>国际模拟法庭大赛、</w:t>
      </w:r>
      <w:r>
        <w:rPr>
          <w:rFonts w:ascii="Times New Roman" w:eastAsia="仿宋" w:hAnsi="Times New Roman" w:cs="Times New Roman"/>
          <w:sz w:val="32"/>
          <w:szCs w:val="32"/>
        </w:rPr>
        <w:t>“</w:t>
      </w:r>
      <w:r>
        <w:rPr>
          <w:rFonts w:ascii="Times New Roman" w:eastAsia="仿宋" w:hAnsi="Times New Roman" w:cs="Times New Roman"/>
          <w:sz w:val="32"/>
          <w:szCs w:val="32"/>
        </w:rPr>
        <w:t>贸仲杯</w:t>
      </w:r>
      <w:r>
        <w:rPr>
          <w:rFonts w:ascii="Times New Roman" w:eastAsia="仿宋" w:hAnsi="Times New Roman" w:cs="Times New Roman"/>
          <w:sz w:val="32"/>
          <w:szCs w:val="32"/>
        </w:rPr>
        <w:t>”</w:t>
      </w:r>
      <w:r>
        <w:rPr>
          <w:rFonts w:ascii="Times New Roman" w:eastAsia="仿宋" w:hAnsi="Times New Roman" w:cs="Times New Roman"/>
          <w:sz w:val="32"/>
          <w:szCs w:val="32"/>
        </w:rPr>
        <w:t>国际商事仲裁辩论赛。如有同等级别专业学术类竞赛未列明由法学学科组负责确定。）</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sz w:val="32"/>
          <w:szCs w:val="32"/>
        </w:rPr>
        <w:t>参与省部级以上科研项目并</w:t>
      </w:r>
      <w:proofErr w:type="gramStart"/>
      <w:r>
        <w:rPr>
          <w:rFonts w:ascii="Times New Roman" w:eastAsia="仿宋" w:hAnsi="Times New Roman" w:cs="Times New Roman"/>
          <w:sz w:val="32"/>
          <w:szCs w:val="32"/>
        </w:rPr>
        <w:t>取得结项证书</w:t>
      </w:r>
      <w:proofErr w:type="gramEnd"/>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以结项证书</w:t>
      </w:r>
      <w:proofErr w:type="gramEnd"/>
      <w:r>
        <w:rPr>
          <w:rFonts w:ascii="Times New Roman" w:eastAsia="仿宋" w:hAnsi="Times New Roman" w:cs="Times New Roman"/>
          <w:sz w:val="32"/>
          <w:szCs w:val="32"/>
        </w:rPr>
        <w:t>署名为准）。</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sz w:val="32"/>
          <w:szCs w:val="32"/>
        </w:rPr>
        <w:t>学位论文外</w:t>
      </w:r>
      <w:proofErr w:type="gramStart"/>
      <w:r>
        <w:rPr>
          <w:rFonts w:ascii="Times New Roman" w:eastAsia="仿宋" w:hAnsi="Times New Roman" w:cs="Times New Roman"/>
          <w:sz w:val="32"/>
          <w:szCs w:val="32"/>
        </w:rPr>
        <w:t>审意见</w:t>
      </w:r>
      <w:proofErr w:type="gramEnd"/>
      <w:r>
        <w:rPr>
          <w:rFonts w:ascii="Times New Roman" w:eastAsia="仿宋" w:hAnsi="Times New Roman" w:cs="Times New Roman"/>
          <w:sz w:val="32"/>
          <w:szCs w:val="32"/>
        </w:rPr>
        <w:t>均获得</w:t>
      </w:r>
      <w:r>
        <w:rPr>
          <w:rFonts w:ascii="Times New Roman" w:eastAsia="仿宋" w:hAnsi="Times New Roman" w:cs="Times New Roman"/>
          <w:sz w:val="32"/>
          <w:szCs w:val="32"/>
        </w:rPr>
        <w:t>“</w:t>
      </w:r>
      <w:r>
        <w:rPr>
          <w:rFonts w:ascii="Times New Roman" w:eastAsia="仿宋" w:hAnsi="Times New Roman" w:cs="Times New Roman"/>
          <w:sz w:val="32"/>
          <w:szCs w:val="32"/>
        </w:rPr>
        <w:t>优秀</w:t>
      </w:r>
      <w:r>
        <w:rPr>
          <w:rFonts w:ascii="Times New Roman" w:eastAsia="仿宋" w:hAnsi="Times New Roman" w:cs="Times New Roman"/>
          <w:sz w:val="32"/>
          <w:szCs w:val="32"/>
        </w:rPr>
        <w:t>”</w:t>
      </w:r>
      <w:r>
        <w:rPr>
          <w:rFonts w:ascii="Times New Roman" w:eastAsia="仿宋" w:hAnsi="Times New Roman" w:cs="Times New Roman"/>
          <w:sz w:val="32"/>
          <w:szCs w:val="32"/>
        </w:rPr>
        <w:t>等级。</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注：</w:t>
      </w:r>
      <w:r>
        <w:rPr>
          <w:rFonts w:ascii="Times New Roman" w:eastAsia="仿宋" w:hAnsi="Times New Roman" w:cs="Times New Roman"/>
          <w:sz w:val="32"/>
          <w:szCs w:val="32"/>
        </w:rPr>
        <w:t>所有作为申请学位认定依据的论文必须以</w:t>
      </w:r>
      <w:r>
        <w:rPr>
          <w:rFonts w:ascii="Times New Roman" w:eastAsia="仿宋" w:hAnsi="Times New Roman" w:cs="Times New Roman"/>
          <w:sz w:val="32"/>
          <w:szCs w:val="32"/>
        </w:rPr>
        <w:t>“</w:t>
      </w:r>
      <w:r>
        <w:rPr>
          <w:rFonts w:ascii="Times New Roman" w:eastAsia="仿宋" w:hAnsi="Times New Roman" w:cs="Times New Roman"/>
          <w:sz w:val="32"/>
          <w:szCs w:val="32"/>
        </w:rPr>
        <w:t>暨南大学</w:t>
      </w:r>
      <w:r>
        <w:rPr>
          <w:rFonts w:ascii="Times New Roman" w:eastAsia="仿宋" w:hAnsi="Times New Roman" w:cs="Times New Roman"/>
          <w:sz w:val="32"/>
          <w:szCs w:val="32"/>
        </w:rPr>
        <w:t>”</w:t>
      </w:r>
      <w:r>
        <w:rPr>
          <w:rFonts w:ascii="Times New Roman" w:eastAsia="仿宋" w:hAnsi="Times New Roman" w:cs="Times New Roman"/>
          <w:sz w:val="32"/>
          <w:szCs w:val="32"/>
        </w:rPr>
        <w:t>为第一署名单位，申请人本人署名第一作者或导师为第一作者、申请人为第二作者。</w:t>
      </w: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对外招硕士研究生发表论文不做硬性要求，鼓励发表与本学科领域相关的学术论文。</w:t>
      </w:r>
    </w:p>
    <w:p w:rsidR="00306381" w:rsidRDefault="00306381" w:rsidP="00306381">
      <w:pPr>
        <w:ind w:firstLineChars="200" w:firstLine="640"/>
        <w:rPr>
          <w:rFonts w:ascii="Times New Roman" w:eastAsia="仿宋" w:hAnsi="Times New Roman" w:cs="Times New Roman"/>
          <w:sz w:val="32"/>
          <w:szCs w:val="32"/>
        </w:rPr>
      </w:pPr>
    </w:p>
    <w:p w:rsidR="00306381" w:rsidRDefault="00306381" w:rsidP="0030638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附件：可作为申请学位认定依据的学术刊物清单</w:t>
      </w:r>
    </w:p>
    <w:tbl>
      <w:tblPr>
        <w:tblStyle w:val="a7"/>
        <w:tblW w:w="9499" w:type="dxa"/>
        <w:jc w:val="center"/>
        <w:tblLayout w:type="fixed"/>
        <w:tblLook w:val="04A0" w:firstRow="1" w:lastRow="0" w:firstColumn="1" w:lastColumn="0" w:noHBand="0" w:noVBand="1"/>
      </w:tblPr>
      <w:tblGrid>
        <w:gridCol w:w="1023"/>
        <w:gridCol w:w="2380"/>
        <w:gridCol w:w="1276"/>
        <w:gridCol w:w="1842"/>
        <w:gridCol w:w="2978"/>
      </w:tblGrid>
      <w:tr w:rsidR="00306381" w:rsidTr="00306381">
        <w:trPr>
          <w:trHeight w:val="624"/>
          <w:jc w:val="center"/>
        </w:trPr>
        <w:tc>
          <w:tcPr>
            <w:tcW w:w="1023" w:type="dxa"/>
            <w:vAlign w:val="center"/>
          </w:tcPr>
          <w:p w:rsidR="00306381" w:rsidRDefault="00306381" w:rsidP="00306381">
            <w:pPr>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序</w:t>
            </w:r>
            <w:r>
              <w:rPr>
                <w:rFonts w:ascii="Times New Roman" w:eastAsia="仿宋" w:hAnsi="Times New Roman" w:cs="Times New Roman"/>
                <w:sz w:val="32"/>
                <w:szCs w:val="32"/>
              </w:rPr>
              <w:t>号</w:t>
            </w:r>
          </w:p>
        </w:tc>
        <w:tc>
          <w:tcPr>
            <w:tcW w:w="2380" w:type="dxa"/>
            <w:vAlign w:val="center"/>
          </w:tcPr>
          <w:p w:rsidR="00306381" w:rsidRDefault="00306381" w:rsidP="00306381">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期刊名称</w:t>
            </w:r>
          </w:p>
        </w:tc>
        <w:tc>
          <w:tcPr>
            <w:tcW w:w="1276" w:type="dxa"/>
            <w:vAlign w:val="center"/>
          </w:tcPr>
          <w:p w:rsidR="00306381" w:rsidRDefault="00306381" w:rsidP="003C42C5">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主办（管）单位</w:t>
            </w:r>
          </w:p>
        </w:tc>
        <w:tc>
          <w:tcPr>
            <w:tcW w:w="1842" w:type="dxa"/>
            <w:vAlign w:val="center"/>
          </w:tcPr>
          <w:p w:rsidR="00306381" w:rsidRDefault="00306381" w:rsidP="00306381">
            <w:pPr>
              <w:rPr>
                <w:rFonts w:ascii="Times New Roman" w:eastAsia="仿宋" w:hAnsi="Times New Roman" w:cs="Times New Roman"/>
                <w:sz w:val="32"/>
                <w:szCs w:val="32"/>
              </w:rPr>
            </w:pPr>
            <w:r>
              <w:rPr>
                <w:rFonts w:ascii="Times New Roman" w:eastAsia="仿宋" w:hAnsi="Times New Roman" w:cs="Times New Roman"/>
                <w:sz w:val="32"/>
                <w:szCs w:val="32"/>
              </w:rPr>
              <w:t>CN</w:t>
            </w:r>
            <w:r>
              <w:rPr>
                <w:rFonts w:ascii="Times New Roman" w:eastAsia="仿宋" w:hAnsi="Times New Roman" w:cs="Times New Roman"/>
                <w:sz w:val="32"/>
                <w:szCs w:val="32"/>
              </w:rPr>
              <w:t>号或出版社</w:t>
            </w:r>
          </w:p>
        </w:tc>
        <w:tc>
          <w:tcPr>
            <w:tcW w:w="2978" w:type="dxa"/>
            <w:vAlign w:val="center"/>
          </w:tcPr>
          <w:p w:rsidR="00306381" w:rsidRDefault="00306381" w:rsidP="003C42C5">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来源</w:t>
            </w:r>
          </w:p>
        </w:tc>
      </w:tr>
      <w:tr w:rsidR="00306381" w:rsidTr="00306381">
        <w:trPr>
          <w:trHeight w:val="624"/>
          <w:jc w:val="center"/>
        </w:trPr>
        <w:tc>
          <w:tcPr>
            <w:tcW w:w="1023"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1</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北方法学</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黑龙江大学</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23-1546/D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2</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电子知识产权</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工业和信息化</w:t>
            </w:r>
            <w:r>
              <w:rPr>
                <w:rFonts w:ascii="Times New Roman" w:eastAsia="仿宋" w:hAnsi="Times New Roman" w:cs="Times New Roman"/>
                <w:sz w:val="32"/>
                <w:szCs w:val="32"/>
              </w:rPr>
              <w:lastRenderedPageBreak/>
              <w:t>部电子科技技术情报研究所</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11-3226/D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3</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法律适用</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国家法官学院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11-3126/D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4</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法治研究</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浙江省法学会</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33-1343/D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5</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甘肃政法学院学报</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甘肃政法学院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62-1129/D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6</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国际经济法学刊</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中国国际经济法学会</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10-1533/D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7</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河北法学</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河北政法职业学院等</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13-1023/D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8</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交大法学</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上海交通大学</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31-2075/D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9</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科技与法律</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中国科学技术法学会</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11-2922/N</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10</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武大国际法评</w:t>
            </w:r>
            <w:r>
              <w:rPr>
                <w:rFonts w:ascii="Times New Roman" w:eastAsia="仿宋" w:hAnsi="Times New Roman" w:cs="Times New Roman"/>
                <w:sz w:val="32"/>
                <w:szCs w:val="32"/>
              </w:rPr>
              <w:lastRenderedPageBreak/>
              <w:t>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武汉大</w:t>
            </w:r>
            <w:r>
              <w:rPr>
                <w:rFonts w:ascii="Times New Roman" w:eastAsia="仿宋" w:hAnsi="Times New Roman" w:cs="Times New Roman"/>
                <w:sz w:val="32"/>
                <w:szCs w:val="32"/>
              </w:rPr>
              <w:lastRenderedPageBreak/>
              <w:t>学</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42-1893/D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w:t>
            </w:r>
            <w:r>
              <w:rPr>
                <w:rFonts w:ascii="Times New Roman" w:eastAsia="仿宋" w:hAnsi="Times New Roman" w:cs="Times New Roman"/>
                <w:sz w:val="32"/>
                <w:szCs w:val="32"/>
              </w:rPr>
              <w:lastRenderedPageBreak/>
              <w:t>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10</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中国法律评论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10-1210/D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12</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中国政法大学学报</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中国政法大学</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11-5607/D</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扩展版来源期刊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13</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北大法律评论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北京大学法学院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北京大学出版社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14</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法律方法</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山东大学法律方法论研究中心</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山东人民出版社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15</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法律和社会科学</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北京大学比较法和法律社会学研究所</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16</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法治论坛</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广州市法学会</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中国法制出版社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17</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公法研究</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浙江大</w:t>
            </w:r>
            <w:r>
              <w:rPr>
                <w:rFonts w:ascii="Times New Roman" w:eastAsia="仿宋" w:hAnsi="Times New Roman" w:cs="Times New Roman"/>
                <w:sz w:val="32"/>
                <w:szCs w:val="32"/>
              </w:rPr>
              <w:lastRenderedPageBreak/>
              <w:t>学公法与比较法研究所</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浙江大学出</w:t>
            </w:r>
            <w:r>
              <w:rPr>
                <w:rFonts w:ascii="Times New Roman" w:eastAsia="仿宋" w:hAnsi="Times New Roman" w:cs="Times New Roman"/>
                <w:sz w:val="32"/>
                <w:szCs w:val="32"/>
              </w:rPr>
              <w:lastRenderedPageBreak/>
              <w:t>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18</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行政法论丛</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北京大学宪法与行政法研究中心</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19</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金融法苑</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北京大学法学院金融法研究中心</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中国金融出版社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20</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经济法论坛</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西南政法大学经济法学科点</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群众出版社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21</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经济法学评论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中国人民大学经济法学研究</w:t>
            </w:r>
            <w:r>
              <w:rPr>
                <w:rFonts w:ascii="Times New Roman" w:eastAsia="仿宋" w:hAnsi="Times New Roman" w:cs="Times New Roman"/>
                <w:sz w:val="32"/>
                <w:szCs w:val="32"/>
              </w:rPr>
              <w:lastRenderedPageBreak/>
              <w:t>中心</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中国法制出版社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22</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民间法</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中南大学法学院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厦门大学出版社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23</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民商法论丛</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中国社会科学院法学研究所私法研究中心</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24</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南京大学法律评论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南京大学法学院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25</w:t>
            </w:r>
          </w:p>
        </w:tc>
        <w:tc>
          <w:tcPr>
            <w:tcW w:w="2380" w:type="dxa"/>
            <w:vAlign w:val="center"/>
          </w:tcPr>
          <w:p w:rsidR="00306381" w:rsidRDefault="00306381" w:rsidP="003C42C5">
            <w:pPr>
              <w:jc w:val="left"/>
              <w:rPr>
                <w:rFonts w:ascii="Times New Roman" w:eastAsia="仿宋" w:hAnsi="Times New Roman" w:cs="Times New Roman"/>
                <w:sz w:val="32"/>
                <w:szCs w:val="32"/>
              </w:rPr>
            </w:pPr>
            <w:proofErr w:type="gramStart"/>
            <w:r>
              <w:rPr>
                <w:rFonts w:ascii="Times New Roman" w:eastAsia="仿宋" w:hAnsi="Times New Roman" w:cs="Times New Roman"/>
                <w:sz w:val="32"/>
                <w:szCs w:val="32"/>
              </w:rPr>
              <w:t>判解研究</w:t>
            </w:r>
            <w:proofErr w:type="gramEnd"/>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中国人民</w:t>
            </w:r>
            <w:proofErr w:type="gramStart"/>
            <w:r>
              <w:rPr>
                <w:rFonts w:ascii="Times New Roman" w:eastAsia="仿宋" w:hAnsi="Times New Roman" w:cs="Times New Roman"/>
                <w:sz w:val="32"/>
                <w:szCs w:val="32"/>
              </w:rPr>
              <w:t>大学民</w:t>
            </w:r>
            <w:proofErr w:type="gramEnd"/>
            <w:r>
              <w:rPr>
                <w:rFonts w:ascii="Times New Roman" w:eastAsia="仿宋" w:hAnsi="Times New Roman" w:cs="Times New Roman"/>
                <w:sz w:val="32"/>
                <w:szCs w:val="32"/>
              </w:rPr>
              <w:t>商事法律科学研究中心</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最高人民法院出版社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26</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清华法治论衡</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清华大学法学院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清华大学出版社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27</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人大法律评论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中国人民大学法学院《人大法律评论》编辑委员会</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28</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人权研究</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山东大学法学院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山东人民出版社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29</w:t>
            </w:r>
          </w:p>
        </w:tc>
        <w:tc>
          <w:tcPr>
            <w:tcW w:w="2380" w:type="dxa"/>
            <w:vAlign w:val="center"/>
          </w:tcPr>
          <w:p w:rsidR="00306381" w:rsidRDefault="00306381" w:rsidP="003C42C5">
            <w:pPr>
              <w:ind w:firstLineChars="150" w:firstLine="480"/>
              <w:jc w:val="left"/>
              <w:rPr>
                <w:rFonts w:ascii="Times New Roman" w:eastAsia="仿宋" w:hAnsi="Times New Roman" w:cs="Times New Roman"/>
                <w:sz w:val="32"/>
                <w:szCs w:val="32"/>
              </w:rPr>
            </w:pPr>
            <w:r>
              <w:rPr>
                <w:rFonts w:ascii="Times New Roman" w:eastAsia="仿宋" w:hAnsi="Times New Roman" w:cs="Times New Roman"/>
                <w:sz w:val="32"/>
                <w:szCs w:val="32"/>
              </w:rPr>
              <w:t>私法</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华中科技大学法学院私法研究所</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华中科技大学出版社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30</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私法研究</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中南</w:t>
            </w:r>
            <w:proofErr w:type="gramStart"/>
            <w:r>
              <w:rPr>
                <w:rFonts w:ascii="Times New Roman" w:eastAsia="仿宋" w:hAnsi="Times New Roman" w:cs="Times New Roman"/>
                <w:sz w:val="32"/>
                <w:szCs w:val="32"/>
              </w:rPr>
              <w:t>财经政法大学民</w:t>
            </w:r>
            <w:proofErr w:type="gramEnd"/>
            <w:r>
              <w:rPr>
                <w:rFonts w:ascii="Times New Roman" w:eastAsia="仿宋" w:hAnsi="Times New Roman" w:cs="Times New Roman"/>
                <w:sz w:val="32"/>
                <w:szCs w:val="32"/>
              </w:rPr>
              <w:t>商法学科</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31</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网络法律评论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w:t>
            </w:r>
            <w:r>
              <w:rPr>
                <w:rFonts w:ascii="Times New Roman" w:eastAsia="仿宋" w:hAnsi="Times New Roman" w:cs="Times New Roman"/>
                <w:sz w:val="32"/>
                <w:szCs w:val="32"/>
              </w:rPr>
              <w:lastRenderedPageBreak/>
              <w:t>学知识产权学院，北京大学互联网法律中心</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北京大学出</w:t>
            </w:r>
            <w:r>
              <w:rPr>
                <w:rFonts w:ascii="Times New Roman" w:eastAsia="仿宋" w:hAnsi="Times New Roman" w:cs="Times New Roman"/>
                <w:sz w:val="32"/>
                <w:szCs w:val="32"/>
              </w:rPr>
              <w:lastRenderedPageBreak/>
              <w:t>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32</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刑法论丛</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北京师范大学刑事法律科学研究院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33</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刑事法评论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北京大学法治与发展研究院刑事法治研究中心</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北京大学出版社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34</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证券法苑</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上海证券交易所</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35</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中德法学论坛</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南京大学中德法学研究所</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36</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中德私法研究</w:t>
            </w:r>
          </w:p>
        </w:tc>
        <w:tc>
          <w:tcPr>
            <w:tcW w:w="1276" w:type="dxa"/>
            <w:vAlign w:val="center"/>
          </w:tcPr>
          <w:p w:rsidR="00306381" w:rsidRDefault="00306381" w:rsidP="003C42C5">
            <w:pPr>
              <w:jc w:val="left"/>
              <w:rPr>
                <w:rFonts w:ascii="Times New Roman" w:eastAsia="仿宋" w:hAnsi="Times New Roman" w:cs="Times New Roman"/>
                <w:sz w:val="32"/>
                <w:szCs w:val="32"/>
              </w:rPr>
            </w:pP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北京大学出版社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37</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中国不动产法研究</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西南政法</w:t>
            </w:r>
            <w:proofErr w:type="gramStart"/>
            <w:r>
              <w:rPr>
                <w:rFonts w:ascii="Times New Roman" w:eastAsia="仿宋" w:hAnsi="Times New Roman" w:cs="Times New Roman"/>
                <w:sz w:val="32"/>
                <w:szCs w:val="32"/>
              </w:rPr>
              <w:t>大学民</w:t>
            </w:r>
            <w:proofErr w:type="gramEnd"/>
            <w:r>
              <w:rPr>
                <w:rFonts w:ascii="Times New Roman" w:eastAsia="仿宋" w:hAnsi="Times New Roman" w:cs="Times New Roman"/>
                <w:sz w:val="32"/>
                <w:szCs w:val="32"/>
              </w:rPr>
              <w:t>商法学院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CSSCI</w:t>
            </w:r>
            <w:r>
              <w:rPr>
                <w:rFonts w:ascii="Times New Roman" w:eastAsia="仿宋" w:hAnsi="Times New Roman" w:cs="Times New Roman"/>
                <w:sz w:val="32"/>
                <w:szCs w:val="32"/>
              </w:rPr>
              <w:t>法学类集刊</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38</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政治与法律评论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北京大学法治研究中心</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主要政法院校主办</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39</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中华法系</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中国政法大学法律史学研究院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主要政法院校主办</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40</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国际法与比较法论丛</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湖南师范大学法学院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主要政法院校主办</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41</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经贸法律评论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对外经济贸易大学法学院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北京对外经济贸易大学出版社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主要政法院校主办</w:t>
            </w:r>
          </w:p>
        </w:tc>
      </w:tr>
      <w:tr w:rsidR="00306381" w:rsidTr="00306381">
        <w:trPr>
          <w:trHeight w:val="624"/>
          <w:jc w:val="center"/>
        </w:trPr>
        <w:tc>
          <w:tcPr>
            <w:tcW w:w="1023" w:type="dxa"/>
            <w:vAlign w:val="center"/>
          </w:tcPr>
          <w:p w:rsidR="00306381" w:rsidRDefault="00306381" w:rsidP="003C42C5">
            <w:pPr>
              <w:ind w:firstLineChars="50" w:firstLine="160"/>
              <w:jc w:val="left"/>
              <w:rPr>
                <w:rFonts w:ascii="Times New Roman" w:eastAsia="仿宋" w:hAnsi="Times New Roman" w:cs="Times New Roman"/>
                <w:sz w:val="32"/>
                <w:szCs w:val="32"/>
              </w:rPr>
            </w:pPr>
            <w:r>
              <w:rPr>
                <w:rFonts w:ascii="Times New Roman" w:eastAsia="仿宋" w:hAnsi="Times New Roman" w:cs="Times New Roman"/>
                <w:sz w:val="32"/>
                <w:szCs w:val="32"/>
              </w:rPr>
              <w:t>42</w:t>
            </w:r>
          </w:p>
        </w:tc>
        <w:tc>
          <w:tcPr>
            <w:tcW w:w="2380"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中山大学法律评论</w:t>
            </w:r>
          </w:p>
        </w:tc>
        <w:tc>
          <w:tcPr>
            <w:tcW w:w="1276"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中山大学法学院</w:t>
            </w:r>
          </w:p>
        </w:tc>
        <w:tc>
          <w:tcPr>
            <w:tcW w:w="1842"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法律出版社</w:t>
            </w:r>
          </w:p>
        </w:tc>
        <w:tc>
          <w:tcPr>
            <w:tcW w:w="2978" w:type="dxa"/>
            <w:vAlign w:val="center"/>
          </w:tcPr>
          <w:p w:rsidR="00306381" w:rsidRDefault="00306381" w:rsidP="003C42C5">
            <w:pPr>
              <w:jc w:val="left"/>
              <w:rPr>
                <w:rFonts w:ascii="Times New Roman" w:eastAsia="仿宋" w:hAnsi="Times New Roman" w:cs="Times New Roman"/>
                <w:sz w:val="32"/>
                <w:szCs w:val="32"/>
              </w:rPr>
            </w:pPr>
            <w:r>
              <w:rPr>
                <w:rFonts w:ascii="Times New Roman" w:eastAsia="仿宋" w:hAnsi="Times New Roman" w:cs="Times New Roman"/>
                <w:sz w:val="32"/>
                <w:szCs w:val="32"/>
              </w:rPr>
              <w:t>主要政法院校主办</w:t>
            </w:r>
          </w:p>
        </w:tc>
      </w:tr>
    </w:tbl>
    <w:p w:rsidR="00306381" w:rsidRDefault="00306381" w:rsidP="00306381">
      <w:pPr>
        <w:ind w:firstLineChars="200" w:firstLine="640"/>
        <w:rPr>
          <w:rFonts w:ascii="Times New Roman" w:eastAsia="仿宋" w:hAnsi="Times New Roman" w:cs="Times New Roman"/>
          <w:sz w:val="32"/>
          <w:szCs w:val="32"/>
        </w:rPr>
      </w:pPr>
    </w:p>
    <w:p w:rsidR="0051552A" w:rsidRDefault="0051552A">
      <w:pPr>
        <w:rPr>
          <w:rFonts w:ascii="宋体" w:eastAsia="宋体" w:hAnsi="宋体" w:cs="宋体"/>
          <w:sz w:val="24"/>
        </w:rPr>
      </w:pPr>
    </w:p>
    <w:sectPr w:rsidR="00515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A0" w:rsidRDefault="00BE36A0" w:rsidP="00036ECB">
      <w:r>
        <w:separator/>
      </w:r>
    </w:p>
  </w:endnote>
  <w:endnote w:type="continuationSeparator" w:id="0">
    <w:p w:rsidR="00BE36A0" w:rsidRDefault="00BE36A0" w:rsidP="000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A0" w:rsidRDefault="00BE36A0" w:rsidP="00036ECB">
      <w:r>
        <w:separator/>
      </w:r>
    </w:p>
  </w:footnote>
  <w:footnote w:type="continuationSeparator" w:id="0">
    <w:p w:rsidR="00BE36A0" w:rsidRDefault="00BE36A0" w:rsidP="00036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E70C2"/>
    <w:rsid w:val="00036ECB"/>
    <w:rsid w:val="00306381"/>
    <w:rsid w:val="0051552A"/>
    <w:rsid w:val="006E0F48"/>
    <w:rsid w:val="00976B25"/>
    <w:rsid w:val="00BE36A0"/>
    <w:rsid w:val="63EE70C2"/>
    <w:rsid w:val="71A9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none"/>
    </w:rPr>
  </w:style>
  <w:style w:type="character" w:styleId="a4">
    <w:name w:val="Hyperlink"/>
    <w:basedOn w:val="a0"/>
    <w:qFormat/>
    <w:rPr>
      <w:color w:val="0000FF"/>
      <w:u w:val="none"/>
    </w:rPr>
  </w:style>
  <w:style w:type="character" w:customStyle="1" w:styleId="item-name">
    <w:name w:val="item-name"/>
    <w:basedOn w:val="a0"/>
  </w:style>
  <w:style w:type="character" w:customStyle="1" w:styleId="item-name1">
    <w:name w:val="item-name1"/>
    <w:basedOn w:val="a0"/>
    <w:qFormat/>
  </w:style>
  <w:style w:type="paragraph" w:styleId="a5">
    <w:name w:val="header"/>
    <w:basedOn w:val="a"/>
    <w:link w:val="Char"/>
    <w:rsid w:val="00036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36ECB"/>
    <w:rPr>
      <w:rFonts w:asciiTheme="minorHAnsi" w:eastAsiaTheme="minorEastAsia" w:hAnsiTheme="minorHAnsi" w:cstheme="minorBidi"/>
      <w:kern w:val="2"/>
      <w:sz w:val="18"/>
      <w:szCs w:val="18"/>
    </w:rPr>
  </w:style>
  <w:style w:type="paragraph" w:styleId="a6">
    <w:name w:val="footer"/>
    <w:basedOn w:val="a"/>
    <w:link w:val="Char0"/>
    <w:rsid w:val="00036ECB"/>
    <w:pPr>
      <w:tabs>
        <w:tab w:val="center" w:pos="4153"/>
        <w:tab w:val="right" w:pos="8306"/>
      </w:tabs>
      <w:snapToGrid w:val="0"/>
      <w:jc w:val="left"/>
    </w:pPr>
    <w:rPr>
      <w:sz w:val="18"/>
      <w:szCs w:val="18"/>
    </w:rPr>
  </w:style>
  <w:style w:type="character" w:customStyle="1" w:styleId="Char0">
    <w:name w:val="页脚 Char"/>
    <w:basedOn w:val="a0"/>
    <w:link w:val="a6"/>
    <w:rsid w:val="00036ECB"/>
    <w:rPr>
      <w:rFonts w:asciiTheme="minorHAnsi" w:eastAsiaTheme="minorEastAsia" w:hAnsiTheme="minorHAnsi" w:cstheme="minorBidi"/>
      <w:kern w:val="2"/>
      <w:sz w:val="18"/>
      <w:szCs w:val="18"/>
    </w:rPr>
  </w:style>
  <w:style w:type="table" w:styleId="a7">
    <w:name w:val="Table Grid"/>
    <w:basedOn w:val="a1"/>
    <w:uiPriority w:val="59"/>
    <w:qFormat/>
    <w:rsid w:val="00306381"/>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none"/>
    </w:rPr>
  </w:style>
  <w:style w:type="character" w:styleId="a4">
    <w:name w:val="Hyperlink"/>
    <w:basedOn w:val="a0"/>
    <w:qFormat/>
    <w:rPr>
      <w:color w:val="0000FF"/>
      <w:u w:val="none"/>
    </w:rPr>
  </w:style>
  <w:style w:type="character" w:customStyle="1" w:styleId="item-name">
    <w:name w:val="item-name"/>
    <w:basedOn w:val="a0"/>
  </w:style>
  <w:style w:type="character" w:customStyle="1" w:styleId="item-name1">
    <w:name w:val="item-name1"/>
    <w:basedOn w:val="a0"/>
    <w:qFormat/>
  </w:style>
  <w:style w:type="paragraph" w:styleId="a5">
    <w:name w:val="header"/>
    <w:basedOn w:val="a"/>
    <w:link w:val="Char"/>
    <w:rsid w:val="00036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36ECB"/>
    <w:rPr>
      <w:rFonts w:asciiTheme="minorHAnsi" w:eastAsiaTheme="minorEastAsia" w:hAnsiTheme="minorHAnsi" w:cstheme="minorBidi"/>
      <w:kern w:val="2"/>
      <w:sz w:val="18"/>
      <w:szCs w:val="18"/>
    </w:rPr>
  </w:style>
  <w:style w:type="paragraph" w:styleId="a6">
    <w:name w:val="footer"/>
    <w:basedOn w:val="a"/>
    <w:link w:val="Char0"/>
    <w:rsid w:val="00036ECB"/>
    <w:pPr>
      <w:tabs>
        <w:tab w:val="center" w:pos="4153"/>
        <w:tab w:val="right" w:pos="8306"/>
      </w:tabs>
      <w:snapToGrid w:val="0"/>
      <w:jc w:val="left"/>
    </w:pPr>
    <w:rPr>
      <w:sz w:val="18"/>
      <w:szCs w:val="18"/>
    </w:rPr>
  </w:style>
  <w:style w:type="character" w:customStyle="1" w:styleId="Char0">
    <w:name w:val="页脚 Char"/>
    <w:basedOn w:val="a0"/>
    <w:link w:val="a6"/>
    <w:rsid w:val="00036ECB"/>
    <w:rPr>
      <w:rFonts w:asciiTheme="minorHAnsi" w:eastAsiaTheme="minorEastAsia" w:hAnsiTheme="minorHAnsi" w:cstheme="minorBidi"/>
      <w:kern w:val="2"/>
      <w:sz w:val="18"/>
      <w:szCs w:val="18"/>
    </w:rPr>
  </w:style>
  <w:style w:type="table" w:styleId="a7">
    <w:name w:val="Table Grid"/>
    <w:basedOn w:val="a1"/>
    <w:uiPriority w:val="59"/>
    <w:qFormat/>
    <w:rsid w:val="00306381"/>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s.jnu.edu.cn/_upload/article/files/65/75/4bb023bb4e499f4debdda3ff40a9/ab64134b-4c33-488a-990d-3f7de22c513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552</Words>
  <Characters>3147</Characters>
  <Application>Microsoft Office Word</Application>
  <DocSecurity>0</DocSecurity>
  <Lines>26</Lines>
  <Paragraphs>7</Paragraphs>
  <ScaleCrop>false</ScaleCrop>
  <Company>Hewlett-Packard Company</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蒋石</dc:creator>
  <cp:lastModifiedBy>未定义</cp:lastModifiedBy>
  <cp:revision>3</cp:revision>
  <dcterms:created xsi:type="dcterms:W3CDTF">2020-03-09T07:24:00Z</dcterms:created>
  <dcterms:modified xsi:type="dcterms:W3CDTF">2021-07-16T03:05:00Z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